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394CF5" w:rsidRDefault="00900010" w:rsidP="00394C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24.12.2020 № 208</w:t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</w:p>
    <w:p w:rsidR="00394CF5" w:rsidRPr="00BA49A6" w:rsidRDefault="00394CF5" w:rsidP="00394CF5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394CF5" w:rsidRPr="005674BC" w:rsidRDefault="00394CF5" w:rsidP="00394CF5">
      <w:pPr>
        <w:ind w:firstLine="709"/>
        <w:jc w:val="both"/>
        <w:rPr>
          <w:b/>
          <w:sz w:val="16"/>
          <w:szCs w:val="16"/>
        </w:rPr>
      </w:pP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сельского</w:t>
      </w: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 w:rsidR="00221F43">
        <w:rPr>
          <w:b/>
        </w:rPr>
        <w:t>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394CF5" w:rsidRPr="00180F7F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221F43">
        <w:rPr>
          <w:b/>
        </w:rPr>
        <w:t>2022</w:t>
      </w:r>
      <w:r w:rsidRPr="00180F7F">
        <w:rPr>
          <w:b/>
        </w:rPr>
        <w:t xml:space="preserve"> и </w:t>
      </w:r>
      <w:r w:rsidR="00221F43">
        <w:rPr>
          <w:b/>
        </w:rPr>
        <w:t>2023</w:t>
      </w:r>
      <w:r w:rsidRPr="00180F7F">
        <w:rPr>
          <w:b/>
        </w:rPr>
        <w:t xml:space="preserve"> годов </w:t>
      </w:r>
    </w:p>
    <w:p w:rsidR="00394CF5" w:rsidRDefault="00394CF5" w:rsidP="00394CF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394CF5" w:rsidRPr="00F021EA" w:rsidRDefault="00394CF5" w:rsidP="00394C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394CF5" w:rsidRPr="001610FD" w:rsidRDefault="00394CF5" w:rsidP="00394C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4C40DC">
        <w:rPr>
          <w:sz w:val="28"/>
          <w:szCs w:val="28"/>
        </w:rPr>
        <w:t>16</w:t>
      </w:r>
      <w:r w:rsidR="004C40DC" w:rsidRPr="004C40DC">
        <w:rPr>
          <w:sz w:val="28"/>
          <w:szCs w:val="28"/>
        </w:rPr>
        <w:t>560,0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C40DC">
        <w:rPr>
          <w:sz w:val="28"/>
          <w:szCs w:val="28"/>
        </w:rPr>
        <w:t>12</w:t>
      </w:r>
      <w:r w:rsidR="004C40DC" w:rsidRPr="004C40DC">
        <w:rPr>
          <w:sz w:val="28"/>
          <w:szCs w:val="28"/>
        </w:rPr>
        <w:t>090,4</w:t>
      </w:r>
      <w:r w:rsidRPr="000D2306">
        <w:rPr>
          <w:sz w:val="28"/>
          <w:szCs w:val="28"/>
        </w:rPr>
        <w:t>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4C40DC">
        <w:rPr>
          <w:sz w:val="28"/>
          <w:szCs w:val="28"/>
        </w:rPr>
        <w:t>16</w:t>
      </w:r>
      <w:r w:rsidR="004C40DC" w:rsidRPr="004C40DC">
        <w:rPr>
          <w:sz w:val="28"/>
          <w:szCs w:val="28"/>
        </w:rPr>
        <w:t>860,0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4C40DC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4C40DC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 w:rsidR="004C40DC">
        <w:rPr>
          <w:sz w:val="28"/>
          <w:szCs w:val="28"/>
        </w:rPr>
        <w:t>7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поступлений. 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годов:</w:t>
      </w:r>
    </w:p>
    <w:p w:rsidR="00394CF5" w:rsidRPr="004E340F" w:rsidRDefault="00394CF5" w:rsidP="00394CF5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</w:t>
      </w:r>
      <w:r w:rsidR="00221F4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Pr="000D2306">
        <w:rPr>
          <w:sz w:val="28"/>
          <w:szCs w:val="28"/>
        </w:rPr>
        <w:t xml:space="preserve"> в сумме </w:t>
      </w:r>
      <w:r w:rsidR="004C40DC">
        <w:rPr>
          <w:sz w:val="28"/>
          <w:szCs w:val="28"/>
        </w:rPr>
        <w:t>15</w:t>
      </w:r>
      <w:r w:rsidR="004C40DC" w:rsidRPr="004C40DC">
        <w:rPr>
          <w:sz w:val="28"/>
          <w:szCs w:val="28"/>
        </w:rPr>
        <w:t>800,0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="004C40DC">
        <w:rPr>
          <w:bCs/>
          <w:color w:val="000000"/>
          <w:sz w:val="28"/>
          <w:szCs w:val="28"/>
        </w:rPr>
        <w:t>11</w:t>
      </w:r>
      <w:r w:rsidR="004C40DC" w:rsidRPr="004C40DC">
        <w:rPr>
          <w:bCs/>
          <w:color w:val="000000"/>
          <w:sz w:val="28"/>
          <w:szCs w:val="28"/>
        </w:rPr>
        <w:t>190,2</w:t>
      </w:r>
      <w:r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15</w:t>
      </w:r>
      <w:r w:rsidR="004C40DC" w:rsidRPr="004C40DC">
        <w:rPr>
          <w:sz w:val="28"/>
          <w:szCs w:val="28"/>
        </w:rPr>
        <w:t>350,0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C40DC">
        <w:rPr>
          <w:sz w:val="28"/>
          <w:szCs w:val="28"/>
        </w:rPr>
        <w:t>10</w:t>
      </w:r>
      <w:r w:rsidR="004C40DC" w:rsidRPr="004C40DC">
        <w:rPr>
          <w:sz w:val="28"/>
          <w:szCs w:val="28"/>
        </w:rPr>
        <w:t>547,9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  <w:proofErr w:type="gramEnd"/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16000</w:t>
      </w:r>
      <w:r w:rsidR="004C40DC" w:rsidRPr="004C40DC">
        <w:rPr>
          <w:sz w:val="28"/>
          <w:szCs w:val="28"/>
        </w:rPr>
        <w:t>,0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209C9">
        <w:rPr>
          <w:sz w:val="28"/>
          <w:szCs w:val="28"/>
        </w:rPr>
        <w:t>395</w:t>
      </w:r>
      <w:r w:rsidRPr="003A2A9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 w:rsidR="00221F43">
        <w:rPr>
          <w:sz w:val="28"/>
          <w:szCs w:val="28"/>
        </w:rPr>
        <w:t>2023</w:t>
      </w:r>
      <w:r w:rsidRPr="003A2A96">
        <w:rPr>
          <w:sz w:val="28"/>
          <w:szCs w:val="28"/>
        </w:rPr>
        <w:t xml:space="preserve"> год в сумме </w:t>
      </w:r>
      <w:r w:rsidR="009A26C0">
        <w:rPr>
          <w:sz w:val="28"/>
          <w:szCs w:val="28"/>
        </w:rPr>
        <w:t>15450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 w:rsidR="009A26C0">
        <w:rPr>
          <w:sz w:val="28"/>
          <w:szCs w:val="28"/>
        </w:rPr>
        <w:t>767</w:t>
      </w:r>
      <w:r w:rsidRPr="001161B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</w:t>
      </w:r>
      <w:proofErr w:type="gramStart"/>
      <w:r w:rsidRPr="000D2306">
        <w:rPr>
          <w:sz w:val="28"/>
          <w:szCs w:val="28"/>
        </w:rPr>
        <w:t>.р</w:t>
      </w:r>
      <w:proofErr w:type="gramEnd"/>
      <w:r w:rsidRPr="000D2306">
        <w:rPr>
          <w:sz w:val="28"/>
          <w:szCs w:val="28"/>
        </w:rPr>
        <w:t>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</w:t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9A26C0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9A26C0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 w:rsidR="009A26C0">
        <w:rPr>
          <w:sz w:val="28"/>
          <w:szCs w:val="28"/>
        </w:rPr>
        <w:t>5</w:t>
      </w:r>
      <w:r w:rsidRPr="0071672B">
        <w:rPr>
          <w:sz w:val="28"/>
          <w:szCs w:val="28"/>
        </w:rPr>
        <w:t xml:space="preserve"> % </w:t>
      </w:r>
      <w:r w:rsidRPr="0071672B">
        <w:rPr>
          <w:sz w:val="28"/>
          <w:szCs w:val="28"/>
        </w:rPr>
        <w:lastRenderedPageBreak/>
        <w:t>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поступлений,</w:t>
      </w:r>
      <w:r w:rsidRPr="008E3F4F"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размер дефицита бюджета </w:t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9A26C0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9A26C0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поступлений, 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плановом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394CF5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394CF5" w:rsidRPr="00785DC6" w:rsidRDefault="00394CF5" w:rsidP="00394CF5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D99">
        <w:rPr>
          <w:rFonts w:ascii="Times New Roman" w:hAnsi="Times New Roman" w:cs="Times New Roman"/>
          <w:sz w:val="28"/>
          <w:szCs w:val="28"/>
        </w:rPr>
        <w:t xml:space="preserve">перечень  главных администраторов доходов бюджета Черемховского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D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Черемховского сельского поселения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Черемховского сельского поселения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A65B9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5B9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BD12D9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годов</w:t>
      </w:r>
      <w:r w:rsidRPr="000D230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8,9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BD12D9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10,11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14,15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16,17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2F1168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18,19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20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21 к настоящему решению;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- </w:t>
      </w:r>
      <w:r w:rsidRPr="005D6F24">
        <w:rPr>
          <w:sz w:val="28"/>
          <w:szCs w:val="28"/>
        </w:rPr>
        <w:t xml:space="preserve"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</w:t>
      </w:r>
      <w:r w:rsidR="00221F43">
        <w:rPr>
          <w:sz w:val="28"/>
          <w:szCs w:val="28"/>
        </w:rPr>
        <w:t>2021</w:t>
      </w:r>
      <w:r w:rsidRPr="005D6F24">
        <w:rPr>
          <w:sz w:val="28"/>
          <w:szCs w:val="28"/>
        </w:rPr>
        <w:t xml:space="preserve"> год и на плановый период </w:t>
      </w:r>
      <w:r w:rsidR="00221F43">
        <w:rPr>
          <w:sz w:val="28"/>
          <w:szCs w:val="28"/>
        </w:rPr>
        <w:t>2022</w:t>
      </w:r>
      <w:r w:rsidRPr="005D6F24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5D6F24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22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889,8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926,0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985,7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 w:rsidR="009A2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9. Установить: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444,6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584,8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772,1</w:t>
      </w:r>
      <w:r w:rsidRPr="000D2306">
        <w:rPr>
          <w:sz w:val="28"/>
          <w:szCs w:val="28"/>
        </w:rPr>
        <w:t xml:space="preserve"> тыс. рублей.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 w:rsidR="009A26C0"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7C6C">
        <w:rPr>
          <w:rFonts w:ascii="Times New Roman" w:hAnsi="Times New Roman" w:cs="Times New Roman"/>
          <w:sz w:val="28"/>
          <w:szCs w:val="28"/>
        </w:rPr>
        <w:t>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DC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случае изменения в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 доходов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или главных администраторов источников финансирования дефицита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557B2F">
        <w:rPr>
          <w:rFonts w:ascii="Times New Roman" w:hAnsi="Times New Roman" w:cs="Times New Roman"/>
          <w:sz w:val="28"/>
          <w:szCs w:val="28"/>
        </w:rPr>
        <w:t>ешение.</w:t>
      </w:r>
      <w:proofErr w:type="gramEnd"/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>13.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394CF5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394CF5" w:rsidRDefault="00394CF5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394CF5" w:rsidRPr="00D147D3" w:rsidRDefault="00394CF5" w:rsidP="00394CF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394CF5" w:rsidRDefault="00394CF5" w:rsidP="00394CF5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Pr="00D616FC" w:rsidRDefault="00482511" w:rsidP="00482511">
      <w:pPr>
        <w:jc w:val="center"/>
        <w:rPr>
          <w:sz w:val="16"/>
          <w:szCs w:val="1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 w:rsidR="00221F43">
        <w:t>2021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482511" w:rsidRPr="000576F5" w:rsidTr="008B2B0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4 444,6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F43">
              <w:rPr>
                <w:sz w:val="20"/>
                <w:szCs w:val="20"/>
              </w:rPr>
              <w:t>инжекторных</w:t>
            </w:r>
            <w:proofErr w:type="spellEnd"/>
            <w:r w:rsidRPr="00221F4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937,0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A26C0" w:rsidRPr="000576F5" w:rsidTr="008B2B0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A26C0" w:rsidRPr="000576F5" w:rsidTr="008B2B0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0576F5" w:rsidTr="008B2B0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12 115,4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12 090,4</w:t>
            </w:r>
          </w:p>
        </w:tc>
      </w:tr>
      <w:tr w:rsidR="009A26C0" w:rsidRPr="000576F5" w:rsidTr="008B2B0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9A26C0" w:rsidRPr="000576F5" w:rsidTr="008B2B0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9A26C0" w:rsidRPr="000576F5" w:rsidTr="008B2B0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706,3</w:t>
            </w:r>
          </w:p>
        </w:tc>
      </w:tr>
      <w:tr w:rsidR="009A26C0" w:rsidRPr="000576F5" w:rsidTr="008B2B0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706,3</w:t>
            </w:r>
          </w:p>
        </w:tc>
      </w:tr>
      <w:tr w:rsidR="009A26C0" w:rsidRPr="000576F5" w:rsidTr="008B2B0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9A26C0" w:rsidRPr="000576F5" w:rsidTr="008B2B0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A26C0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9A26C0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A26C0" w:rsidRPr="000576F5" w:rsidTr="008B2B0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A26C0" w:rsidRPr="000576F5" w:rsidTr="008B2B0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16 560,0</w:t>
            </w:r>
          </w:p>
        </w:tc>
      </w:tr>
    </w:tbl>
    <w:p w:rsidR="00482511" w:rsidRDefault="00482511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7E7E57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7E7E57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21F43" w:rsidP="00482511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2022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21F43" w:rsidP="00482511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2023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4 772,1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7E57">
              <w:rPr>
                <w:sz w:val="20"/>
                <w:szCs w:val="20"/>
                <w:vertAlign w:val="superscript"/>
              </w:rPr>
              <w:t>1</w:t>
            </w:r>
            <w:r w:rsidRPr="007E7E5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2 765,3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985,7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985,7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456,3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7E57">
              <w:rPr>
                <w:sz w:val="20"/>
                <w:szCs w:val="20"/>
              </w:rPr>
              <w:t>инжекторных</w:t>
            </w:r>
            <w:proofErr w:type="spellEnd"/>
            <w:r w:rsidRPr="007E7E5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596,8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-60,6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-70,1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950,6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180,6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9A26C0" w:rsidRPr="007E7E57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9A26C0" w:rsidRPr="007E7E57" w:rsidTr="008B2B08">
        <w:trPr>
          <w:trHeight w:val="57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9A26C0" w:rsidRPr="007E7E57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A26C0" w:rsidRPr="007E7E57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7E7E57" w:rsidTr="008B2B08">
        <w:trPr>
          <w:trHeight w:val="31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7E7E57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11 215,2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10 577,9</w:t>
            </w:r>
          </w:p>
        </w:tc>
      </w:tr>
      <w:tr w:rsidR="009A26C0" w:rsidRPr="007E7E57" w:rsidTr="008B2B08">
        <w:trPr>
          <w:trHeight w:val="31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11 190,2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10 547,9</w:t>
            </w:r>
          </w:p>
        </w:tc>
      </w:tr>
      <w:tr w:rsidR="009A26C0" w:rsidRPr="007E7E57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10 461,5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9 805,0</w:t>
            </w:r>
          </w:p>
        </w:tc>
      </w:tr>
      <w:tr w:rsidR="009A26C0" w:rsidRPr="007E7E57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10 461,5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9 805,0</w:t>
            </w:r>
          </w:p>
        </w:tc>
      </w:tr>
      <w:tr w:rsidR="009A26C0" w:rsidRPr="007E7E57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</w:tr>
      <w:tr w:rsidR="009A26C0" w:rsidRPr="007E7E57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</w:tr>
      <w:tr w:rsidR="009A26C0" w:rsidRPr="007E7E57" w:rsidTr="008B2B08">
        <w:trPr>
          <w:trHeight w:val="23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362,0</w:t>
            </w:r>
          </w:p>
        </w:tc>
      </w:tr>
      <w:tr w:rsidR="009A26C0" w:rsidRPr="007E7E57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A26C0" w:rsidRPr="007E7E57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361,3</w:t>
            </w:r>
          </w:p>
        </w:tc>
      </w:tr>
      <w:tr w:rsidR="009A26C0" w:rsidRPr="007E7E57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15 350,0</w:t>
            </w:r>
          </w:p>
        </w:tc>
      </w:tr>
    </w:tbl>
    <w:p w:rsidR="0053643E" w:rsidRDefault="0053643E" w:rsidP="00482511">
      <w:pPr>
        <w:ind w:left="6804" w:hanging="141"/>
        <w:rPr>
          <w:sz w:val="16"/>
          <w:szCs w:val="16"/>
        </w:rPr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221F43" w:rsidRDefault="00221F43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CF5">
              <w:rPr>
                <w:sz w:val="20"/>
                <w:szCs w:val="20"/>
              </w:rPr>
              <w:t>инжекторных</w:t>
            </w:r>
            <w:proofErr w:type="spellEnd"/>
            <w:r w:rsidRPr="00394C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4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32BF5" w:rsidRDefault="00900010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Pr="009576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Перечень главных администраторов доходов бюджета</w:t>
      </w:r>
    </w:p>
    <w:p w:rsidR="00532B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Черемховского сельского поселения</w:t>
      </w:r>
    </w:p>
    <w:p w:rsidR="00532BF5" w:rsidRDefault="00532BF5" w:rsidP="00532BF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0A0"/>
      </w:tblPr>
      <w:tblGrid>
        <w:gridCol w:w="1708"/>
        <w:gridCol w:w="2334"/>
        <w:gridCol w:w="6379"/>
      </w:tblGrid>
      <w:tr w:rsidR="00532BF5" w:rsidRPr="003B23AF" w:rsidTr="00522242">
        <w:trPr>
          <w:trHeight w:val="41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ind w:left="284"/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(ИНН/КПП)</w:t>
            </w:r>
          </w:p>
        </w:tc>
      </w:tr>
      <w:tr w:rsidR="00532BF5" w:rsidRPr="003B23AF" w:rsidTr="00522242">
        <w:trPr>
          <w:trHeight w:val="410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Главного</w:t>
            </w:r>
          </w:p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32BF5" w:rsidRPr="003B23AF" w:rsidTr="00522242">
        <w:trPr>
          <w:trHeight w:val="4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Администрация Черемховского сельского поселения (3820010330/385101001)</w:t>
            </w:r>
          </w:p>
        </w:tc>
      </w:tr>
      <w:tr w:rsidR="00532BF5" w:rsidRPr="003B23AF" w:rsidTr="00522242">
        <w:trPr>
          <w:trHeight w:val="77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B1D">
              <w:rPr>
                <w:color w:val="000000"/>
                <w:sz w:val="20"/>
                <w:szCs w:val="20"/>
              </w:rPr>
              <w:t>(учреждени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34B1D">
              <w:rPr>
                <w:color w:val="000000"/>
                <w:sz w:val="20"/>
                <w:szCs w:val="20"/>
              </w:rPr>
              <w:t xml:space="preserve"> культуры)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A0B" w:rsidRPr="003B23AF" w:rsidTr="00335A0B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335A0B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335A0B" w:rsidRDefault="00335A0B" w:rsidP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A0B" w:rsidRPr="003B23AF" w:rsidTr="00522242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13B0E" w:rsidRDefault="00335A0B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35A0B" w:rsidRPr="003B23AF" w:rsidTr="00522242">
        <w:trPr>
          <w:trHeight w:val="1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A3D38" w:rsidRDefault="00335A0B" w:rsidP="00522242">
            <w:pPr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Безвозмездные поступления *(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A3D38">
              <w:rPr>
                <w:color w:val="000000"/>
                <w:sz w:val="20"/>
                <w:szCs w:val="20"/>
              </w:rPr>
              <w:t>) *(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32BF5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0D38">
        <w:rPr>
          <w:rFonts w:ascii="Times New Roman" w:hAnsi="Times New Roman" w:cs="Times New Roman"/>
          <w:sz w:val="20"/>
          <w:szCs w:val="20"/>
        </w:rPr>
        <w:t>) В част</w:t>
      </w:r>
      <w:r w:rsidR="008B2B08">
        <w:rPr>
          <w:rFonts w:ascii="Times New Roman" w:hAnsi="Times New Roman" w:cs="Times New Roman"/>
          <w:sz w:val="20"/>
          <w:szCs w:val="20"/>
        </w:rPr>
        <w:t>и доходов, зачисляемых в бюджет</w:t>
      </w:r>
      <w:r w:rsidRPr="008A0D38">
        <w:rPr>
          <w:rFonts w:ascii="Times New Roman" w:hAnsi="Times New Roman" w:cs="Times New Roman"/>
          <w:sz w:val="20"/>
          <w:szCs w:val="20"/>
        </w:rPr>
        <w:t xml:space="preserve"> </w:t>
      </w:r>
      <w:r w:rsidR="008B2B08">
        <w:rPr>
          <w:rFonts w:ascii="Times New Roman" w:hAnsi="Times New Roman" w:cs="Times New Roman"/>
          <w:sz w:val="20"/>
          <w:szCs w:val="20"/>
        </w:rPr>
        <w:t xml:space="preserve">Черемховского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8A0D38">
        <w:rPr>
          <w:rFonts w:ascii="Times New Roman" w:hAnsi="Times New Roman" w:cs="Times New Roman"/>
          <w:sz w:val="20"/>
          <w:szCs w:val="20"/>
        </w:rPr>
        <w:t>.</w:t>
      </w: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8A0D38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8A0D38">
        <w:rPr>
          <w:rFonts w:ascii="Times New Roman" w:hAnsi="Times New Roman" w:cs="Times New Roman"/>
          <w:sz w:val="20"/>
          <w:szCs w:val="20"/>
        </w:rPr>
        <w:t xml:space="preserve"> коде бюджетной классификации</w:t>
      </w:r>
    </w:p>
    <w:p w:rsidR="00532BF5" w:rsidRDefault="00532BF5" w:rsidP="00532BF5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7E7E57" w:rsidRDefault="007E7E57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Pr="009576F5" w:rsidRDefault="00522242" w:rsidP="00522242">
      <w:pPr>
        <w:jc w:val="center"/>
      </w:pPr>
      <w:r>
        <w:t xml:space="preserve">Перечень </w:t>
      </w:r>
      <w:r w:rsidRPr="00B21693">
        <w:t xml:space="preserve">главных </w:t>
      </w:r>
      <w:proofErr w:type="gramStart"/>
      <w:r>
        <w:t>а</w:t>
      </w:r>
      <w:r w:rsidRPr="009576F5">
        <w:t>дминистратор</w:t>
      </w:r>
      <w:r>
        <w:t>ов</w:t>
      </w:r>
      <w:r w:rsidRPr="009576F5">
        <w:t xml:space="preserve"> источников финансирования дефицита бюджета</w:t>
      </w:r>
      <w:proofErr w:type="gramEnd"/>
    </w:p>
    <w:p w:rsidR="00522242" w:rsidRDefault="00522242" w:rsidP="00522242">
      <w:pPr>
        <w:jc w:val="center"/>
      </w:pPr>
      <w:r w:rsidRPr="009576F5">
        <w:t xml:space="preserve">Черемховского сельского поселения </w:t>
      </w:r>
    </w:p>
    <w:p w:rsidR="00522242" w:rsidRDefault="00522242" w:rsidP="00522242">
      <w:pPr>
        <w:jc w:val="center"/>
      </w:pPr>
    </w:p>
    <w:tbl>
      <w:tblPr>
        <w:tblW w:w="9420" w:type="dxa"/>
        <w:jc w:val="center"/>
        <w:tblInd w:w="95" w:type="dxa"/>
        <w:tblLook w:val="04A0"/>
      </w:tblPr>
      <w:tblGrid>
        <w:gridCol w:w="1720"/>
        <w:gridCol w:w="2140"/>
        <w:gridCol w:w="5560"/>
      </w:tblGrid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 xml:space="preserve">Код администратора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</w:tr>
      <w:tr w:rsidR="00522242" w:rsidRPr="0041757B" w:rsidTr="00522242">
        <w:trPr>
          <w:trHeight w:val="255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ИНН 3820010330 КПП 385101001 ОКАТО 25248843000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jc w:val="both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7 731,8</w:t>
            </w:r>
          </w:p>
        </w:tc>
      </w:tr>
      <w:tr w:rsidR="00A67F60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1 076,8</w:t>
            </w:r>
          </w:p>
        </w:tc>
      </w:tr>
      <w:tr w:rsidR="00A67F60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6 282,5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353,7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343,5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343,5</w:t>
            </w:r>
          </w:p>
        </w:tc>
      </w:tr>
      <w:tr w:rsidR="00A67F60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437,0</w:t>
            </w:r>
          </w:p>
        </w:tc>
      </w:tr>
      <w:tr w:rsidR="00A67F60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437,0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889,8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889,8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1 740,9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694,0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1 046,9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9,0</w:t>
            </w:r>
          </w:p>
        </w:tc>
      </w:tr>
      <w:tr w:rsidR="00A67F60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5 049,3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5 049,3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bCs/>
                <w:sz w:val="20"/>
                <w:szCs w:val="20"/>
              </w:rPr>
            </w:pPr>
            <w:r w:rsidRPr="00A67F60">
              <w:rPr>
                <w:bCs/>
                <w:sz w:val="20"/>
                <w:szCs w:val="20"/>
              </w:rPr>
              <w:t>16 860,0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652AB0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652AB0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522242" w:rsidRPr="00652AB0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652AB0" w:rsidRDefault="00221F43" w:rsidP="00002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2022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652AB0" w:rsidRDefault="00221F43" w:rsidP="00002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2023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6 715,2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6 355,1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1 076,8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1 076,8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5 265,3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0,0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361,3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361,3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87,0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87,0</w:t>
            </w:r>
          </w:p>
        </w:tc>
      </w:tr>
      <w:tr w:rsidR="00D54653" w:rsidRPr="00652AB0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985,7</w:t>
            </w:r>
          </w:p>
        </w:tc>
      </w:tr>
      <w:tr w:rsidR="00D54653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985,7</w:t>
            </w:r>
          </w:p>
        </w:tc>
      </w:tr>
      <w:tr w:rsidR="00D54653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1 528,8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1 591,8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255,0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1 131,8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1 336,8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4 273,7</w:t>
            </w:r>
          </w:p>
        </w:tc>
      </w:tr>
      <w:tr w:rsidR="00D54653" w:rsidRPr="00652AB0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4 273,7</w:t>
            </w:r>
          </w:p>
        </w:tc>
      </w:tr>
      <w:tr w:rsidR="00D54653" w:rsidRPr="00652AB0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315,0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315,0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120,0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120,0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119,4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119,4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bCs/>
                <w:sz w:val="20"/>
                <w:szCs w:val="20"/>
              </w:rPr>
            </w:pPr>
            <w:r w:rsidRPr="00D54653">
              <w:rPr>
                <w:bCs/>
                <w:sz w:val="20"/>
                <w:szCs w:val="20"/>
              </w:rPr>
              <w:t>15 605,0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bCs/>
                <w:sz w:val="20"/>
                <w:szCs w:val="20"/>
              </w:rPr>
            </w:pPr>
            <w:r w:rsidRPr="00D54653">
              <w:rPr>
                <w:bCs/>
                <w:sz w:val="20"/>
                <w:szCs w:val="20"/>
              </w:rPr>
              <w:t>14 683,0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16 860,0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7 731,8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249,8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6 282,5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4 499,0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1 358,7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79,4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856,0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780,0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652AB0">
              <w:rPr>
                <w:sz w:val="20"/>
                <w:szCs w:val="20"/>
              </w:rPr>
              <w:t>зем</w:t>
            </w:r>
            <w:proofErr w:type="spellEnd"/>
            <w:r w:rsidRPr="00652AB0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1 740,9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652AB0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996,9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829,5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102,4 </w:t>
            </w:r>
          </w:p>
        </w:tc>
      </w:tr>
      <w:tr w:rsidR="00F22FEF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6,0 </w:t>
            </w:r>
          </w:p>
        </w:tc>
      </w:tr>
      <w:tr w:rsidR="00F22FEF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2 084,3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629,4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2 293,0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2 232,0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61,0 </w:t>
            </w:r>
          </w:p>
        </w:tc>
      </w:tr>
      <w:tr w:rsidR="00F22FEF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52AB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652AB0" w:rsidRPr="00652AB0" w:rsidRDefault="00652AB0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14 683,0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6 355,1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249,8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5 265,3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5 157,3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3 797,9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1 358,7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359,8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359,8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276,4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83,4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1,5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1,5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1,5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985,7 </w:t>
            </w:r>
          </w:p>
        </w:tc>
      </w:tr>
      <w:tr w:rsidR="00D54653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985,7 </w:t>
            </w:r>
          </w:p>
        </w:tc>
      </w:tr>
      <w:tr w:rsidR="00D54653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1 591,8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1 336,8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1 336,8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1 146,8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4 273,7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4 273,7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2 084,3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629,4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1 480,0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1 414,0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A67F60" w:rsidRDefault="00D54653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A67F60" w:rsidRDefault="00D54653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A67F60" w:rsidRDefault="00D54653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A67F60" w:rsidRDefault="00D54653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A67F60" w:rsidRDefault="00D54653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315,0 </w:t>
            </w:r>
          </w:p>
        </w:tc>
      </w:tr>
      <w:tr w:rsidR="00D54653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315,0 </w:t>
            </w:r>
          </w:p>
        </w:tc>
      </w:tr>
      <w:tr w:rsidR="00D54653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315,0 </w:t>
            </w:r>
          </w:p>
        </w:tc>
      </w:tr>
      <w:tr w:rsidR="00D54653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300,0 </w:t>
            </w:r>
          </w:p>
        </w:tc>
      </w:tr>
      <w:tr w:rsidR="00D54653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52AB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82,5 </w:t>
            </w:r>
          </w:p>
        </w:tc>
      </w:tr>
      <w:tr w:rsidR="00D54653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82,5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82,5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36,9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36,9 </w:t>
            </w:r>
          </w:p>
        </w:tc>
      </w:tr>
      <w:tr w:rsidR="00D5465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4653" w:rsidRPr="00652AB0" w:rsidRDefault="00D54653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16 860,0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7 731,8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249,8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6 282,5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4 499,0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1 358,7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79,4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856,0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780,0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C8627F">
              <w:rPr>
                <w:sz w:val="20"/>
                <w:szCs w:val="20"/>
              </w:rPr>
              <w:t>зем</w:t>
            </w:r>
            <w:proofErr w:type="spellEnd"/>
            <w:r w:rsidRPr="00C8627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1 740,9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C8627F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996,9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829,5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102,4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2 084,3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629,4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2 293,0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2 232,0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F22FEF">
        <w:trPr>
          <w:trHeight w:val="25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8627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14 683,0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6 355,1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1 076,8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249,8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5 265,3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5 157,3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5 156,6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3 797,9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1 358,7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361,3 </w:t>
            </w:r>
          </w:p>
        </w:tc>
      </w:tr>
      <w:tr w:rsidR="00D54653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359,8 </w:t>
            </w:r>
          </w:p>
        </w:tc>
      </w:tr>
      <w:tr w:rsidR="00D54653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359,8 </w:t>
            </w:r>
          </w:p>
        </w:tc>
      </w:tr>
      <w:tr w:rsidR="00D54653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276,4 </w:t>
            </w:r>
          </w:p>
        </w:tc>
      </w:tr>
      <w:tr w:rsidR="00D54653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83,4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1,5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1,5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1,5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87,0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985,7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985,7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920,0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1 591,8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180,0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1 336,8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1 336,8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1 146,8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776,8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396,8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364,0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145,0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3474D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3,0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4 273,7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4 273,7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2 713,7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2 084,3 </w:t>
            </w:r>
          </w:p>
        </w:tc>
      </w:tr>
      <w:tr w:rsidR="00D54653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629,4 </w:t>
            </w:r>
          </w:p>
        </w:tc>
      </w:tr>
      <w:tr w:rsidR="00D54653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1 480,0 </w:t>
            </w:r>
          </w:p>
        </w:tc>
      </w:tr>
      <w:tr w:rsidR="00D54653" w:rsidRPr="004B7C59" w:rsidTr="00F22FEF">
        <w:trPr>
          <w:trHeight w:val="58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1 414,0 </w:t>
            </w:r>
          </w:p>
        </w:tc>
      </w:tr>
      <w:tr w:rsidR="00D54653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F22FEF" w:rsidRDefault="00D54653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F22FEF" w:rsidRDefault="00D54653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1 384,0 </w:t>
            </w:r>
          </w:p>
        </w:tc>
      </w:tr>
      <w:tr w:rsidR="00D54653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66,0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16,0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20,0 </w:t>
            </w:r>
          </w:p>
        </w:tc>
      </w:tr>
      <w:tr w:rsidR="00D54653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70,0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70,0 </w:t>
            </w:r>
          </w:p>
        </w:tc>
      </w:tr>
      <w:tr w:rsidR="00D54653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40,0 </w:t>
            </w:r>
          </w:p>
        </w:tc>
      </w:tr>
      <w:tr w:rsidR="00D54653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10,0 </w:t>
            </w:r>
          </w:p>
        </w:tc>
      </w:tr>
      <w:tr w:rsidR="00D54653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468,0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300,0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280,0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5,0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120,0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8627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82,5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82,5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82,5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0,0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36,9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36,9 </w:t>
            </w:r>
          </w:p>
        </w:tc>
      </w:tr>
      <w:tr w:rsidR="00D5465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54653" w:rsidRPr="00C8627F" w:rsidRDefault="00D54653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54653" w:rsidRPr="00C8627F" w:rsidRDefault="00D54653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C8627F" w:rsidRPr="00C8627F" w:rsidTr="00C8627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22FEF" w:rsidRPr="00C8627F" w:rsidTr="002F7BFA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6,0</w:t>
            </w:r>
          </w:p>
        </w:tc>
      </w:tr>
      <w:tr w:rsidR="00F22FEF" w:rsidRPr="00C8627F" w:rsidTr="00C8627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22FEF" w:rsidRPr="00C8627F" w:rsidRDefault="00F22FEF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Align w:val="center"/>
            <w:hideMark/>
          </w:tcPr>
          <w:p w:rsidR="00F22FEF" w:rsidRPr="00C8627F" w:rsidRDefault="00F22FEF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2293,0</w:t>
            </w:r>
          </w:p>
        </w:tc>
      </w:tr>
      <w:tr w:rsidR="00F22FEF" w:rsidRPr="00C8627F" w:rsidTr="002F7BFA">
        <w:trPr>
          <w:trHeight w:val="47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90,0</w:t>
            </w:r>
          </w:p>
        </w:tc>
      </w:tr>
      <w:tr w:rsidR="00F22FEF" w:rsidRPr="00C8627F" w:rsidTr="002F7BF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669,0</w:t>
            </w:r>
          </w:p>
        </w:tc>
      </w:tr>
      <w:tr w:rsidR="00F22FEF" w:rsidRPr="00C8627F" w:rsidTr="002F7BFA">
        <w:trPr>
          <w:trHeight w:val="414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25,0</w:t>
            </w:r>
          </w:p>
        </w:tc>
      </w:tr>
      <w:tr w:rsidR="00F22FEF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1046,9</w:t>
            </w:r>
          </w:p>
        </w:tc>
      </w:tr>
      <w:tr w:rsidR="00F22FEF" w:rsidRPr="00C8627F" w:rsidTr="002F7BFA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10,5</w:t>
            </w:r>
          </w:p>
        </w:tc>
      </w:tr>
      <w:tr w:rsidR="00F22FEF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437,0</w:t>
            </w:r>
          </w:p>
        </w:tc>
      </w:tr>
      <w:tr w:rsidR="00F22FEF" w:rsidRPr="00C8627F" w:rsidTr="00C8627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32,5</w:t>
            </w:r>
          </w:p>
        </w:tc>
      </w:tr>
      <w:tr w:rsidR="00F22FEF" w:rsidRPr="00C8627F" w:rsidTr="00C8627F">
        <w:trPr>
          <w:trHeight w:val="1290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25,0</w:t>
            </w:r>
          </w:p>
        </w:tc>
      </w:tr>
      <w:tr w:rsidR="00F22FEF" w:rsidRPr="00C8627F" w:rsidTr="00C8627F">
        <w:trPr>
          <w:trHeight w:val="1050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831,0</w:t>
            </w:r>
          </w:p>
        </w:tc>
      </w:tr>
      <w:tr w:rsidR="00F22FEF" w:rsidRPr="00C8627F" w:rsidTr="00C8627F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10,0</w:t>
            </w:r>
          </w:p>
        </w:tc>
      </w:tr>
      <w:tr w:rsidR="00F22FEF" w:rsidRPr="00C8627F" w:rsidTr="00C8627F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35,0</w:t>
            </w:r>
          </w:p>
        </w:tc>
      </w:tr>
      <w:tr w:rsidR="00F22FEF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5510,9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990C6C" w:rsidRPr="00990C6C" w:rsidTr="00C879CE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21F43">
              <w:rPr>
                <w:sz w:val="20"/>
                <w:szCs w:val="20"/>
              </w:rPr>
              <w:t>2022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21F43">
              <w:rPr>
                <w:sz w:val="20"/>
                <w:szCs w:val="20"/>
              </w:rPr>
              <w:t>2023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F22FEF" w:rsidRPr="00990C6C" w:rsidTr="00CB6AE1">
        <w:trPr>
          <w:trHeight w:val="96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</w:t>
            </w:r>
            <w:r>
              <w:rPr>
                <w:sz w:val="20"/>
                <w:szCs w:val="20"/>
              </w:rPr>
              <w:t>2020</w:t>
            </w:r>
            <w:r w:rsidRPr="00990C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990C6C" w:rsidRDefault="00F22FEF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6,0</w:t>
            </w:r>
          </w:p>
        </w:tc>
      </w:tr>
      <w:tr w:rsidR="00F22FEF" w:rsidRPr="00990C6C" w:rsidTr="00C879CE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990C6C" w:rsidRDefault="00F22FEF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F22FEF" w:rsidRDefault="00F22FEF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F22FEF" w:rsidRDefault="00F22FEF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1377,5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</w:p>
        </w:tc>
      </w:tr>
      <w:tr w:rsidR="00F22FEF" w:rsidRPr="00990C6C" w:rsidTr="00C879CE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990C6C" w:rsidRDefault="00F22FEF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22FEF" w:rsidRPr="00990C6C" w:rsidRDefault="00F22FEF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22FEF" w:rsidRPr="00990C6C" w:rsidRDefault="00F22FEF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1005,5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1480,0</w:t>
            </w:r>
          </w:p>
        </w:tc>
      </w:tr>
      <w:tr w:rsidR="0070117D" w:rsidRPr="00990C6C" w:rsidTr="0070117D">
        <w:trPr>
          <w:trHeight w:val="5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5614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140,0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90,0</w:t>
            </w:r>
          </w:p>
        </w:tc>
      </w:tr>
      <w:tr w:rsidR="0070117D" w:rsidRPr="00990C6C" w:rsidTr="0070117D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70,0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0,0</w:t>
            </w:r>
          </w:p>
        </w:tc>
      </w:tr>
      <w:tr w:rsidR="0070117D" w:rsidRPr="00990C6C" w:rsidTr="0070117D">
        <w:trPr>
          <w:trHeight w:val="569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327,0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255,0</w:t>
            </w:r>
          </w:p>
        </w:tc>
      </w:tr>
      <w:tr w:rsidR="0070117D" w:rsidRPr="00990C6C" w:rsidTr="0070117D">
        <w:trPr>
          <w:trHeight w:val="691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1131,8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1336,8</w:t>
            </w:r>
          </w:p>
        </w:tc>
      </w:tr>
      <w:tr w:rsidR="0070117D" w:rsidRPr="00990C6C" w:rsidTr="0070117D">
        <w:trPr>
          <w:trHeight w:val="55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10,5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18,0</w:t>
            </w:r>
          </w:p>
        </w:tc>
      </w:tr>
      <w:tr w:rsidR="0070117D" w:rsidRPr="00990C6C" w:rsidTr="0070117D">
        <w:trPr>
          <w:trHeight w:val="553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137,0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87,0</w:t>
            </w:r>
          </w:p>
        </w:tc>
      </w:tr>
      <w:tr w:rsidR="0070117D" w:rsidRPr="00990C6C" w:rsidTr="00C879CE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32,5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70,0</w:t>
            </w:r>
          </w:p>
        </w:tc>
      </w:tr>
      <w:tr w:rsidR="0070117D" w:rsidRPr="00990C6C" w:rsidTr="00C879CE">
        <w:trPr>
          <w:trHeight w:val="12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</w:t>
            </w:r>
            <w:r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885,0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945,0</w:t>
            </w:r>
          </w:p>
        </w:tc>
      </w:tr>
      <w:tr w:rsidR="0070117D" w:rsidRPr="00990C6C" w:rsidTr="00C879CE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в Черемховском сельском поселении»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10,0</w:t>
            </w:r>
          </w:p>
        </w:tc>
      </w:tr>
      <w:tr w:rsidR="0070117D" w:rsidRPr="00990C6C" w:rsidTr="0070117D">
        <w:trPr>
          <w:trHeight w:val="599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35,0</w:t>
            </w:r>
          </w:p>
        </w:tc>
      </w:tr>
      <w:tr w:rsidR="0070117D" w:rsidRPr="00990C6C" w:rsidTr="0070117D">
        <w:trPr>
          <w:trHeight w:val="707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280,0</w:t>
            </w:r>
          </w:p>
        </w:tc>
      </w:tr>
      <w:tr w:rsidR="0070117D" w:rsidRPr="00990C6C" w:rsidTr="00C879CE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5259,8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4612,8</w:t>
            </w:r>
          </w:p>
        </w:tc>
      </w:tr>
    </w:tbl>
    <w:p w:rsidR="00990C6C" w:rsidRDefault="00990C6C" w:rsidP="00522242"/>
    <w:p w:rsidR="00990C6C" w:rsidRDefault="00990C6C" w:rsidP="00522242"/>
    <w:p w:rsidR="009E2AA4" w:rsidRDefault="009E2AA4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14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5954" w:firstLine="709"/>
        <w:jc w:val="both"/>
      </w:pP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/>
    <w:p w:rsidR="00522242" w:rsidRDefault="00522242" w:rsidP="00522242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22242" w:rsidRDefault="00522242" w:rsidP="00522242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 w:rsidR="00221F43">
        <w:t>2021</w:t>
      </w:r>
      <w:r w:rsidRPr="006A4989">
        <w:t xml:space="preserve"> год </w:t>
      </w:r>
    </w:p>
    <w:p w:rsidR="00522242" w:rsidRDefault="00522242" w:rsidP="00522242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22242" w:rsidRPr="00C33E25" w:rsidTr="0052224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70117D" w:rsidRPr="00C9462E" w:rsidTr="0052224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плановый период </w:t>
      </w:r>
      <w:r w:rsidR="00221F43">
        <w:t>2022</w:t>
      </w:r>
      <w:r w:rsidRPr="006A4989">
        <w:t xml:space="preserve"> и </w:t>
      </w:r>
      <w:r w:rsidR="00221F43">
        <w:t>2023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70117D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17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 xml:space="preserve">на 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 w:rsidR="00221F43">
        <w:t>2021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 w:rsidR="00221F43">
              <w:rPr>
                <w:sz w:val="20"/>
                <w:szCs w:val="20"/>
              </w:rPr>
              <w:t>2022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0F5F5A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</w:tr>
      <w:tr w:rsidR="000F5F5A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C879CE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 w:rsidR="0070117D">
              <w:rPr>
                <w:sz w:val="20"/>
                <w:szCs w:val="20"/>
              </w:rPr>
              <w:t>4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70117D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600,0</w:t>
            </w:r>
          </w:p>
        </w:tc>
      </w:tr>
      <w:tr w:rsidR="0070117D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</w:tr>
      <w:tr w:rsidR="0070117D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600,0</w:t>
            </w:r>
          </w:p>
        </w:tc>
      </w:tr>
      <w:tr w:rsidR="0070117D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20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rPr>
          <w:sz w:val="16"/>
          <w:szCs w:val="16"/>
        </w:rPr>
      </w:pPr>
    </w:p>
    <w:p w:rsidR="00C879CE" w:rsidRDefault="00C879CE" w:rsidP="00C879CE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C879CE" w:rsidRDefault="00C879CE" w:rsidP="00C879CE">
      <w:pPr>
        <w:jc w:val="center"/>
      </w:pPr>
      <w:r w:rsidRPr="00EC7901">
        <w:t xml:space="preserve">на </w:t>
      </w:r>
      <w:r w:rsidR="00221F43">
        <w:t>2021</w:t>
      </w:r>
      <w:r w:rsidRPr="00EC7901">
        <w:t xml:space="preserve"> год и на плановый период </w:t>
      </w:r>
      <w:r w:rsidR="00221F43">
        <w:t>2022</w:t>
      </w:r>
      <w:r w:rsidRPr="00EC7901">
        <w:t xml:space="preserve"> и </w:t>
      </w:r>
      <w:r w:rsidR="00221F43">
        <w:t>2023</w:t>
      </w:r>
      <w:r w:rsidRPr="00EC7901">
        <w:t xml:space="preserve"> годов</w:t>
      </w:r>
    </w:p>
    <w:p w:rsidR="00C879CE" w:rsidRDefault="00C879CE" w:rsidP="00C879C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A08F7" w:rsidRPr="00C33E25" w:rsidTr="00C879CE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C33E25" w:rsidRDefault="00BA08F7" w:rsidP="00C879CE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8F7" w:rsidRPr="00C33E25" w:rsidRDefault="00BA08F7" w:rsidP="00C879CE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 w:val="restart"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70117D" w:rsidRPr="001843B8" w:rsidRDefault="0070117D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Default="0070117D" w:rsidP="00C8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D54653" w:rsidP="00A67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Pr="001843B8" w:rsidRDefault="0070117D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</w:tr>
      <w:tr w:rsidR="00D54653" w:rsidRPr="00C33E25" w:rsidTr="00C879CE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D54653" w:rsidRPr="001843B8" w:rsidRDefault="00D54653" w:rsidP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54653" w:rsidRPr="001843B8" w:rsidRDefault="00D54653" w:rsidP="00C879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653" w:rsidRPr="00F9608C" w:rsidRDefault="00D54653" w:rsidP="00A67F60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D54653" w:rsidRPr="00F9608C" w:rsidRDefault="00D54653" w:rsidP="00A67F60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</w:tbl>
    <w:p w:rsidR="00C879CE" w:rsidRDefault="00C879CE" w:rsidP="00C879CE">
      <w:pPr>
        <w:jc w:val="center"/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21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 w:rsidR="00221F43">
        <w:rPr>
          <w:bCs/>
        </w:rPr>
        <w:t>2021</w:t>
      </w:r>
      <w:r w:rsidRPr="00D147D3">
        <w:rPr>
          <w:bCs/>
        </w:rPr>
        <w:t xml:space="preserve"> год и на плановый период </w:t>
      </w:r>
      <w:r w:rsidR="00221F43">
        <w:rPr>
          <w:bCs/>
        </w:rPr>
        <w:t>2022</w:t>
      </w:r>
      <w:r w:rsidRPr="00D147D3">
        <w:rPr>
          <w:bCs/>
        </w:rPr>
        <w:t xml:space="preserve"> и </w:t>
      </w:r>
      <w:r w:rsidR="00221F43">
        <w:rPr>
          <w:bCs/>
        </w:rPr>
        <w:t>2023</w:t>
      </w:r>
      <w:r w:rsidRPr="00D147D3">
        <w:rPr>
          <w:bCs/>
        </w:rPr>
        <w:t xml:space="preserve"> годов</w:t>
      </w:r>
    </w:p>
    <w:p w:rsidR="00C879CE" w:rsidRDefault="00C879CE" w:rsidP="00C879CE">
      <w:pPr>
        <w:autoSpaceDE w:val="0"/>
        <w:autoSpaceDN w:val="0"/>
        <w:adjustRightInd w:val="0"/>
        <w:jc w:val="center"/>
        <w:rPr>
          <w:b/>
          <w:bCs/>
        </w:rPr>
      </w:pP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</w:t>
      </w:r>
      <w:r>
        <w:t>е трансферты общего характера»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5201026010</w:t>
      </w:r>
      <w:r w:rsidRPr="00A74996">
        <w:t xml:space="preserve"> «</w:t>
      </w:r>
      <w:r w:rsidRPr="00672510">
        <w:t>Межбюджетные трансферты на осуществление части полномочий поселения по формированию, утверждению, исполнению бюджета</w:t>
      </w:r>
      <w:r w:rsidRPr="00A74996">
        <w:t>»</w:t>
      </w:r>
      <w:r>
        <w:t>;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</w:t>
      </w:r>
      <w:r>
        <w:t>5</w:t>
      </w:r>
      <w:r w:rsidRPr="00672510">
        <w:t>0</w:t>
      </w:r>
      <w:r w:rsidRPr="00A74996">
        <w:t xml:space="preserve"> «</w:t>
      </w:r>
      <w:r w:rsidRPr="00D961C9">
        <w:t>Межбюджетные трансферты на осуществление в части полномочий по ЖКХ</w:t>
      </w:r>
      <w:r>
        <w:t>»;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21F43">
        <w:t>2021</w:t>
      </w:r>
      <w:r w:rsidRPr="00C879CE">
        <w:t xml:space="preserve"> год и на плановый период </w:t>
      </w:r>
      <w:r w:rsidR="00221F43">
        <w:t>2022</w:t>
      </w:r>
      <w:r w:rsidRPr="00C879CE">
        <w:t xml:space="preserve"> и </w:t>
      </w:r>
      <w:r w:rsidR="00221F43">
        <w:t>2023</w:t>
      </w:r>
      <w:r w:rsidRPr="00C879CE">
        <w:t xml:space="preserve"> годов</w:t>
      </w:r>
      <w:r>
        <w:t xml:space="preserve"> </w:t>
      </w:r>
      <w:r w:rsidRPr="00A74996">
        <w:t>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</w:pP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22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/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 xml:space="preserve">на </w:t>
      </w:r>
      <w:r w:rsidR="00221F43">
        <w:rPr>
          <w:bCs/>
        </w:rPr>
        <w:t>2021</w:t>
      </w:r>
      <w:r w:rsidRPr="00C14FE8">
        <w:rPr>
          <w:bCs/>
        </w:rPr>
        <w:t xml:space="preserve"> год и на плановый период </w:t>
      </w:r>
      <w:r w:rsidR="00221F43">
        <w:rPr>
          <w:bCs/>
        </w:rPr>
        <w:t>2022</w:t>
      </w:r>
      <w:r w:rsidRPr="00C14FE8">
        <w:rPr>
          <w:bCs/>
        </w:rPr>
        <w:t xml:space="preserve"> и </w:t>
      </w:r>
      <w:r w:rsidR="00221F43">
        <w:rPr>
          <w:bCs/>
        </w:rPr>
        <w:t>2023</w:t>
      </w:r>
      <w:r w:rsidRPr="00C14FE8">
        <w:rPr>
          <w:bCs/>
        </w:rPr>
        <w:t xml:space="preserve"> годов</w:t>
      </w: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521 06 0</w:t>
      </w:r>
      <w:r>
        <w:t>3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21F43">
        <w:t>2021</w:t>
      </w:r>
      <w:r w:rsidRPr="00C879CE">
        <w:t xml:space="preserve"> год и на плановый период </w:t>
      </w:r>
      <w:r w:rsidR="00221F43">
        <w:t>2022</w:t>
      </w:r>
      <w:r w:rsidRPr="00C879CE">
        <w:t xml:space="preserve"> и </w:t>
      </w:r>
      <w:r w:rsidR="00221F43">
        <w:t>2023</w:t>
      </w:r>
      <w:r w:rsidRPr="00C879CE">
        <w:t xml:space="preserve"> годов</w:t>
      </w:r>
      <w:r w:rsidRPr="00A74996">
        <w:t>, 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="00260195">
        <w:t xml:space="preserve">Контрольно-счетной </w:t>
      </w:r>
      <w:r w:rsidRPr="00845B45">
        <w:t>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  <w:rPr>
          <w:sz w:val="28"/>
          <w:szCs w:val="28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3" w:rsidRDefault="00D54653" w:rsidP="00527E0B">
      <w:r>
        <w:separator/>
      </w:r>
    </w:p>
  </w:endnote>
  <w:endnote w:type="continuationSeparator" w:id="0">
    <w:p w:rsidR="00D54653" w:rsidRDefault="00D54653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3" w:rsidRDefault="00D54653" w:rsidP="00527E0B">
      <w:r>
        <w:separator/>
      </w:r>
    </w:p>
  </w:footnote>
  <w:footnote w:type="continuationSeparator" w:id="0">
    <w:p w:rsidR="00D54653" w:rsidRDefault="00D54653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3" w:rsidRDefault="00D54653" w:rsidP="00C33E25">
    <w:pPr>
      <w:pStyle w:val="a8"/>
      <w:jc w:val="center"/>
    </w:pPr>
    <w:fldSimple w:instr=" PAGE   \* MERGEFORMAT ">
      <w:r w:rsidR="009A4EDB">
        <w:rPr>
          <w:noProof/>
        </w:rPr>
        <w:t>73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B65"/>
    <w:rsid w:val="000F5F5A"/>
    <w:rsid w:val="000F7D6A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4C92"/>
    <w:rsid w:val="004A7A32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3AFA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626"/>
    <w:rsid w:val="00D43C97"/>
    <w:rsid w:val="00D4486C"/>
    <w:rsid w:val="00D50156"/>
    <w:rsid w:val="00D51D2C"/>
    <w:rsid w:val="00D54653"/>
    <w:rsid w:val="00D604BC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2FEF"/>
    <w:rsid w:val="00F34B1D"/>
    <w:rsid w:val="00F41023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76</Pages>
  <Words>24193</Words>
  <Characters>159260</Characters>
  <Application>Microsoft Office Word</Application>
  <DocSecurity>0</DocSecurity>
  <Lines>1327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2020-12-29T07:18:00Z</cp:lastPrinted>
  <dcterms:created xsi:type="dcterms:W3CDTF">2020-12-25T04:48:00Z</dcterms:created>
  <dcterms:modified xsi:type="dcterms:W3CDTF">2020-12-29T07:28:00Z</dcterms:modified>
</cp:coreProperties>
</file>